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27 vom 25. April 2023</w:t>
      </w:r>
    </w:p>
    <w:p>
      <w:r>
        <w:t>GR Gerichte, 2023-04-25, DE</w:t>
      </w:r>
    </w:p>
    <w:p>
      <w:r>
        <w:rPr>
          <w:b/>
        </w:rPr>
        <w:t xml:space="preserve">Quelle: </w:t>
      </w:r>
      <w:r>
        <w:t>https://mcp.opencaselaw.ch/entscheid/gr_gerichte_KSK 2023 27</w:t>
      </w:r>
    </w:p>
    <w:p>
      <w:r>
        <w:t>FR: GR_GERICHTE KSK 2023 27 du 25 avril 2023</w:t>
      </w:r>
    </w:p>
    <w:p>
      <w:r>
        <w:t>IT: GR_GERICHTE KSK 2023 27 del 25 aprile 2023</w:t>
      </w:r>
    </w:p>
    <w:p>
      <w:pPr>
        <w:pStyle w:val="Heading2"/>
      </w:pPr>
      <w:r>
        <w:t>Regeste</w:t>
      </w:r>
    </w:p>
    <w:p>
      <w:r>
        <w:t>Einrede fehlenden neuen Vermögens (Art. 265a SchKG) | Beschwerde Rechtsöffnung</w:t>
      </w:r>
    </w:p>
    <w:p>
      <w:pPr>
        <w:pStyle w:val="Heading2"/>
      </w:pPr>
      <w:r>
        <w:t>Erwägungen</w:t>
      </w:r>
    </w:p>
    <w:p>
      <w:r>
        <w:rPr>
          <w:b/>
        </w:rPr>
        <w:t>E. 27</w:t>
      </w:r>
    </w:p>
    <w:p>
      <w:r>
        <w:t>März 2023 beschwert. 1.4.1. Erhebt der Schuldner Rechtsvorschlag mit der Begründung, er sei nicht zu neuem Vermögen gekommen, so legt das Betreibungsamt den Rechtsvorschlag dem Richter des Betreibungsortes vor, und zwar selbst dann, wenn er der Mei- nung ist, die Einrede sei unzulässig. Die Überprüfungsbefugnis des Betreibungs- beamten beschränkt sich auf rein formelle Aspekte. Er hat nicht zu prüfen, ob die Einrede des mangelnden neuen Vermögens zulässig ist, insbesondere nicht, ob</w:t>
      </w:r>
    </w:p>
    <w:p>
      <w:r>
        <w:t>4 / 7 über den Schuldner ein Konkurs durchgeführt wurde und ob die betriebene Forde- rung vor der Konkurseröffnung entstanden war (BGE 130 III 678 E. 2.1.). Darüber hat das Gericht in einem summarischen Verfahren zu entscheiden (Art. 265a Abs. 1 SchKG; Art. 251 lit. d ZPO). Gemäss Art. 265a Abs. 1 SchKG, letzter Satz, ist gegen diesen Entscheid kein Rechtsmittel zulässig. Der Schuldner, dessen Rechtsvorschlag mit der Begründung mangelnden neuen Vermögens nicht (voll- umfänglich) bewilligt wurde, kann jedoch die ordentliche Klage auf Bestreitung neuen Vermögens gemäss Art. 265a Abs. 4 SchKG erheben. Die ordentliche Kla- ge dient im Ergebnis der Überprüfung des Entscheides über die Bewilligung bzw. Nichtbewilligung des Rechtsvorschlages (BGE 134 III 524 E. 1.3; BGer 5D_69/2020 v. 28.4.2020 E. 1). Davon mitumfasst ist auch die (Neu-)Beurteilung der Frage des Vorliegens eines Konkurses und der Frage, ob die betriebene For- derung vor der Konkurseröffnung entstanden ist (OG ZH PS220052 v. 1.4.2022 E. 2.1; OG ZH PS190125 v. 23.8.2019 E. 2.2., Ueli Huber/Miguel Sogo, in: Stae- helin/Bauer/Lorandi [Hrsg.], Basler Kommentar, Bundesgesetz über Schuldbetrei- bung und Konkurs, Bd. II, 3. Aufl., Basel 2021, N 31 zu Art. 265a SchKG). 1.4.2. Im Summarverfahren vor Gericht kommt gemäss Rechtsprechung des Bundesgerichts dem Schuldner die Rolle der klagenden Partei zu (BGE 139 III 498 E. 2) und es obliegt ihm die Beweislast. Es gilt das Beweismass der Glaubhaftmachung. So ist es am Schuldner, glaubhaft zu machen, dass die in Betreibung gesetzte Forderung vor der Konkurseröffnung entstanden ist (Hu- ber/Sogo, a.a.O, N 23 zu Art. 265a SchKG). Könnten im ordentlichen Verfahren das Vorliegen eines Konkurses und die Frage, ob die betriebene Forderung vor der Konkurseröffnung entstanden ist, nicht neu geprüft werden, wäre das Gericht in diesem Verfahren an den auf bloss glaubhaft gemachten Tatsachen beruhen- den Entscheid des Summarrichters gebunden. Diesem käme somit materielle Rechtskraft zu, was unzulässig wäre. Auch deshalb muss im ordentlichen Verfah- ren geklärt werden können, ob ein Konkurs durchgeführt worden ist und ob die betriebene Forderung vor der Konkurseröffnung entstanden war. Soweit eine be- stimmte Rüge im ordentlichen Verfahren nach Art. 265a Abs. 4 SchKG behandelt und ein allfälliger Mangel behoben werden kann, ist die gesonderte Anfechtung des Summarentscheides folglich nicht möglich (OG ZH PS190125 v. 23.8.2019 E. 2.2.). 1.4.3. Die gewöhnlichen Rechtsmittel an die obere kantonale Instanz stehen je- doch offen, wenn das Verfahren aus formellen oder verfahrensrechtlichen Grün- den durch Nichteintretens- oder Abschreibungsentscheid abgeschlossen wird (Huber/Sogo, a.a.O, N 31b zu Art. 265a SchKG). Ebenso nicht überprüf- resp.</w:t>
      </w:r>
    </w:p>
    <w:p>
      <w:r>
        <w:t>5 / 7 heilbar im ordentliche Verfahren nach Art. 265a Abs. 4 SchKG ist ein im Summar- verfahren begangener Verfahrensfehler in Form der Gehörsverletzung sowie die Regelung der Prozesskosten. Hinsichtlich der Gehörsverletzung ist gemäss bun- desgerichtlicher Rechtsprechung die direkte Beschwerde an das Bundesgericht gegen den erstinstanzlichen Summarentscheid (BGE 138 III 44 E. 1.3 = Pra 2012 Nr. 77; 134 III 524 E. 1.3; BGer 5D_69/2020 v. 28.4.2020 E. 1; Huber/Sogo, a.a.O, N 31a zu Art. 265a SchKG) und hinsichtlich der Prozesskosten eine Kostenbe- schwerde an das Kantonsgericht zulässig (BGE 138 III 130 = Pra 2012 Nr. 92; KGer GR KSK 18 18 v. 4.4.2018). 1.4.4. Wie erwähnt, trat das Regionalgericht Prättigau/Davos auf das Begehren des Beschwerdeführers um Bewilligung des Rechtsvorschlags mangels neuen Vermögens nicht ein, weil die der Betreibung zugrundeliegende Forderung nach der Konkurseröffnung fällig geworden sei (RG act. 8). Der Nichteintretensent- scheid erfolgte damit nicht aus formellen oder verfahrensrechtlichen Gründen. In seiner Beschwerde führte der Beschwerdeführer im Wesentlichen aus, weshalb die Forderung vor der Konkurseröffnung entstanden sein soll (act. A.1 S. 2). Dies- bezüglich greift der Rechtsmittelausschluss nach Art. 265a Abs. 1 SchKG. Es steht dem Beschwerdeführer jedoch die ordentliche Klage gemäss Art. 265a Abs. 4 SchKG zur Verfügung. Auf die Beschwerde ist daher in Bezug auf Rechts- begehren Ziff. 1 nicht einzutreten. 1.5. Im Dispositiv des Nichteintretensentscheid vom 27. März 2023 wird der Be- schwerdeführer auf die Beschwerde an das Kantonsgericht hingewiesen, nicht jedoch auf die 20-tägige Frist gemäss Art. 265a Abs. 4 SchKG zur Einreichung einer ordentlichen Klage. Aus einer fehlerhaften Rechtsmittelbelehrung der Vorin- stanz darf dem Beschwerdeführer kein Nachteil erwachsen (vgl. dazu etwa BGE 135 III 374 E. 1.2.2.1; BGer 5A_350/2021 v. 17.5.2021 E. 3.). Die 20-tägige Frist gemäss Art. 265a Abs. 4 SchKG für die Einreichung der Klage auf Bestreitung neuen Vermögens beginnt daher erst mit der Zustellung dieses Entscheides zu laufen. 2.1. Der Beschwerdeführer beantragt in Rechtsbegehren Ziff. 2 der Beschwer- de, die Betreibung sei durch die C._____ zurückzuziehen, und in Rechtsbegehren Ziff. 3, es sei die Möglichkeit der Ratenzahlungen der Forderung in der Höhe von CHF 165.00 zu gewährleisten (act. A.1). 2.2. Damit stellt der Beschwerdeführer nicht die Korrektheit des vorinstanzlichen Entscheids in Frage, welcher einzig die Einrede des mangelnden neuen Vermö- gens betrifft. Er bezweckt damit vielmehr eine Abänderung der Verfügung betref-</w:t>
      </w:r>
    </w:p>
    <w:p>
      <w:r>
        <w:t>6 / 7 fend Rückerstattung geleisteter Beiträge des Kantons vom 4. Mai 2022, welche bei Nichtbezahlung einer Rate innert der angesetzten Zahlungsfrist die Fälligkeit des gesamten ausstehenden Forderungsbetrages vorsieht (RG act. 3.1, Ziff. III.2). Ob und in welchem Verfahren die C._____ auf die Verfügung vom 4. Mai 2022 zurückkommen wird, kann nicht Gegenstand des vorliegenden Verfahrens sein. Auf die Rechtsbegehren Ziff. 2 und 3 der Beschwerde ist folglich ebenfalls nicht einzutreten. Der Beschwerdeführer hat sich diesbezüglich an die zuständige Behörde zu wenden. 3. Umständehalber ist auf die Erhebung von Kosten für dieses Verfahren zu verzichten. Parteientschädigungen sind keine zuzusprechen, zumal der Be- schwerdeführer unterliegt und dem Beschwerdegegner im Zusammenhang mit dem Beschwerdeverfahren keine Umtriebe entstanden sind, die zu entschädigen wären.</w:t>
      </w:r>
    </w:p>
    <w:p>
      <w:r>
        <w:t>7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